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>附件5</w:t>
      </w:r>
    </w:p>
    <w:p>
      <w:pPr>
        <w:jc w:val="center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第二阶段</w:t>
      </w:r>
      <w:r>
        <w:rPr>
          <w:rFonts w:hint="eastAsia" w:ascii="宋体" w:hAnsi="宋体" w:cs="宋体"/>
          <w:b/>
          <w:bCs/>
          <w:sz w:val="44"/>
          <w:szCs w:val="44"/>
        </w:rPr>
        <w:t>选拔测评方法与标准</w:t>
      </w:r>
    </w:p>
    <w:p>
      <w:pPr>
        <w:numPr>
          <w:ilvl w:val="0"/>
          <w:numId w:val="1"/>
        </w:numPr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比赛能力测试方法</w:t>
      </w:r>
    </w:p>
    <w:p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1.</w:t>
      </w:r>
      <w:r>
        <w:rPr>
          <w:rFonts w:hint="eastAsia" w:ascii="宋体" w:hAnsi="宋体" w:cs="宋体"/>
          <w:sz w:val="24"/>
        </w:rPr>
        <w:t>比赛能力测试为</w:t>
      </w:r>
      <w:r>
        <w:rPr>
          <w:rFonts w:hint="eastAsia" w:ascii="宋体" w:hAnsi="宋体" w:cs="宋体"/>
          <w:b/>
          <w:bCs/>
          <w:sz w:val="30"/>
          <w:szCs w:val="30"/>
        </w:rPr>
        <w:t>11人制</w:t>
      </w:r>
      <w:r>
        <w:rPr>
          <w:rFonts w:hint="eastAsia" w:ascii="宋体" w:hAnsi="宋体" w:cs="宋体"/>
          <w:sz w:val="24"/>
        </w:rPr>
        <w:t>足球比赛。</w:t>
      </w:r>
    </w:p>
    <w:p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2.</w:t>
      </w:r>
      <w:r>
        <w:rPr>
          <w:rFonts w:hint="eastAsia" w:ascii="宋体" w:hAnsi="宋体" w:cs="宋体"/>
          <w:sz w:val="24"/>
        </w:rPr>
        <w:t>由Alexander Guenther（欧足协B级）及佛山选拔的中方教练组组成的教练组现场进行评分，最终，以客观的数据加上主观评价，给每一位参与测试的队员给予多维度的科学评估，并给出相关指导及建议。</w:t>
      </w:r>
    </w:p>
    <w:p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3.</w:t>
      </w:r>
      <w:r>
        <w:rPr>
          <w:rFonts w:hint="eastAsia" w:ascii="宋体" w:hAnsi="宋体" w:cs="宋体"/>
          <w:sz w:val="24"/>
        </w:rPr>
        <w:t>测试用球统一标准为5号足球。</w:t>
      </w:r>
    </w:p>
    <w:p>
      <w:pPr>
        <w:numPr>
          <w:ilvl w:val="0"/>
          <w:numId w:val="0"/>
        </w:num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二、</w:t>
      </w:r>
      <w:r>
        <w:rPr>
          <w:rFonts w:hint="eastAsia" w:ascii="宋体" w:hAnsi="宋体" w:cs="宋体"/>
          <w:sz w:val="24"/>
        </w:rPr>
        <w:t>评分标准</w:t>
      </w:r>
    </w:p>
    <w:tbl>
      <w:tblPr>
        <w:tblStyle w:val="3"/>
        <w:tblW w:w="92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0"/>
        <w:gridCol w:w="615"/>
        <w:gridCol w:w="5745"/>
        <w:gridCol w:w="108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评价内容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评价细则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阅读比赛的能力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无球状态下防守的行为表现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无球状态下进攻的行为表现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场上沟通能力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在压力情况下经常作出正确决定的能力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心理素质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在自己犯错后的处理能力和身体语言表现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在队友犯错后的处理能力和身体语言表现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面对不利局面时的处理能力和身体语言表现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面对有利局面时的处理能力和身体语言表现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相互协作配合，鼓舞的能力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个人技战术素养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在人数占优进攻情况下，进攻的表现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在人数处于劣势进攻情况下，进攻的表现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在人数占优防守情况下，防守的表现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在人数处于劣势防守情况下，防守的表现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场上决策能力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在进攻时无球状态下的决策能力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在进攻时有球状态下的决策能力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在防守时无球状态下的决策能力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在防守时有球状态下的决策能力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运用技术的能力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双脚运用技术的能力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运用假动作的能力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身体各部位控制球的能力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B5FC8"/>
    <w:multiLevelType w:val="singleLevel"/>
    <w:tmpl w:val="314B5FC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3818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darlene</cp:lastModifiedBy>
  <dcterms:modified xsi:type="dcterms:W3CDTF">2019-04-04T07:51:38Z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